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BF5" w:rsidRPr="00545BF5" w:rsidRDefault="00545BF5" w:rsidP="00545BF5">
      <w:pPr>
        <w:pStyle w:val="AralkYok"/>
        <w:jc w:val="center"/>
        <w:rPr>
          <w:rFonts w:asciiTheme="minorHAnsi" w:hAnsiTheme="minorHAnsi"/>
          <w:b/>
        </w:rPr>
      </w:pPr>
      <w:r w:rsidRPr="00545BF5">
        <w:rPr>
          <w:rFonts w:asciiTheme="minorHAnsi" w:hAnsiTheme="minorHAnsi"/>
          <w:b/>
        </w:rPr>
        <w:t>Kariyer Uyum Yetenekleri Ölçeği</w:t>
      </w:r>
    </w:p>
    <w:p w:rsidR="00545BF5" w:rsidRPr="00545BF5" w:rsidRDefault="00545BF5" w:rsidP="00545BF5">
      <w:pPr>
        <w:pStyle w:val="AralkYok"/>
        <w:rPr>
          <w:rFonts w:asciiTheme="minorHAnsi" w:hAnsiTheme="minorHAnsi"/>
        </w:rPr>
      </w:pPr>
    </w:p>
    <w:p w:rsidR="00545BF5" w:rsidRPr="00545BF5" w:rsidRDefault="00545BF5" w:rsidP="00545BF5">
      <w:pPr>
        <w:pStyle w:val="AralkYok"/>
        <w:ind w:firstLine="708"/>
        <w:rPr>
          <w:rFonts w:asciiTheme="minorHAnsi" w:hAnsiTheme="minorHAnsi"/>
        </w:rPr>
      </w:pPr>
      <w:r w:rsidRPr="00545BF5">
        <w:rPr>
          <w:rFonts w:asciiTheme="minorHAnsi" w:hAnsiTheme="minorHAnsi"/>
        </w:rPr>
        <w:t xml:space="preserve">İnsanlar kariyerlerini şekillendirirken güçlü oldukları farklı yanlarını </w:t>
      </w:r>
      <w:r w:rsidR="006D630E">
        <w:rPr>
          <w:rFonts w:asciiTheme="minorHAnsi" w:hAnsiTheme="minorHAnsi"/>
        </w:rPr>
        <w:t>kullanırlar. Hiç kimse her konuda</w:t>
      </w:r>
      <w:r w:rsidRPr="00545BF5">
        <w:rPr>
          <w:rFonts w:asciiTheme="minorHAnsi" w:hAnsiTheme="minorHAnsi"/>
        </w:rPr>
        <w:t xml:space="preserve"> iyi olamaz. Her birimizin diğerlerinden daha güçlü olduğu bazı yanları vardır. Aşağıdaki puanlamayı kullanarak belirtilen her bir konuda kendinizi ne kadar güçlü/</w:t>
      </w:r>
      <w:r w:rsidR="004C3C15">
        <w:rPr>
          <w:rFonts w:asciiTheme="minorHAnsi" w:hAnsiTheme="minorHAnsi"/>
        </w:rPr>
        <w:t xml:space="preserve"> </w:t>
      </w:r>
      <w:r w:rsidRPr="00545BF5">
        <w:rPr>
          <w:rFonts w:asciiTheme="minorHAnsi" w:hAnsiTheme="minorHAnsi"/>
        </w:rPr>
        <w:t>iyi geliştirdiğinizi belirtiniz.</w:t>
      </w:r>
    </w:p>
    <w:p w:rsidR="00545BF5" w:rsidRPr="00545BF5" w:rsidRDefault="00545BF5" w:rsidP="00545BF5">
      <w:pPr>
        <w:pStyle w:val="AralkYok"/>
        <w:rPr>
          <w:rFonts w:asciiTheme="minorHAnsi" w:hAnsiTheme="minorHAnsi"/>
        </w:rPr>
      </w:pPr>
    </w:p>
    <w:p w:rsidR="00545BF5" w:rsidRPr="00545BF5" w:rsidRDefault="008C31AA" w:rsidP="008C31AA">
      <w:pPr>
        <w:pStyle w:val="AralkYok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 </w:t>
      </w:r>
      <w:r>
        <w:rPr>
          <w:rFonts w:asciiTheme="minorHAnsi" w:hAnsiTheme="minorHAnsi"/>
          <w:b/>
        </w:rPr>
        <w:tab/>
        <w:t xml:space="preserve">2 </w:t>
      </w:r>
      <w:r>
        <w:rPr>
          <w:rFonts w:asciiTheme="minorHAnsi" w:hAnsiTheme="minorHAnsi"/>
          <w:b/>
        </w:rPr>
        <w:tab/>
        <w:t xml:space="preserve">3 </w:t>
      </w:r>
      <w:r>
        <w:rPr>
          <w:rFonts w:asciiTheme="minorHAnsi" w:hAnsiTheme="minorHAnsi"/>
          <w:b/>
        </w:rPr>
        <w:tab/>
        <w:t xml:space="preserve">4 </w:t>
      </w:r>
      <w:r>
        <w:rPr>
          <w:rFonts w:asciiTheme="minorHAnsi" w:hAnsiTheme="minorHAnsi"/>
          <w:b/>
        </w:rPr>
        <w:tab/>
        <w:t xml:space="preserve">5 </w:t>
      </w:r>
      <w:r w:rsidR="00545BF5" w:rsidRPr="00545BF5">
        <w:rPr>
          <w:rFonts w:asciiTheme="minorHAnsi" w:hAnsiTheme="minorHAnsi"/>
          <w:b/>
        </w:rPr>
        <w:t xml:space="preserve"> </w:t>
      </w:r>
    </w:p>
    <w:p w:rsidR="001909CB" w:rsidRDefault="008C31AA" w:rsidP="00545BF5">
      <w:pPr>
        <w:pStyle w:val="AralkYok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909CB">
        <w:rPr>
          <w:rFonts w:asciiTheme="minorHAnsi" w:hAnsiTheme="minorHAnsi"/>
          <w:b/>
        </w:rPr>
        <w:tab/>
        <w:t xml:space="preserve"> </w:t>
      </w:r>
      <w:r>
        <w:rPr>
          <w:rFonts w:asciiTheme="minorHAnsi" w:hAnsiTheme="minorHAnsi"/>
          <w:b/>
        </w:rPr>
        <w:t xml:space="preserve">  </w:t>
      </w:r>
      <w:r w:rsidR="001909CB">
        <w:rPr>
          <w:rFonts w:asciiTheme="minorHAnsi" w:hAnsiTheme="minorHAnsi"/>
          <w:b/>
        </w:rPr>
        <w:t>Hiç</w:t>
      </w:r>
      <w:r w:rsidR="001909CB" w:rsidRPr="001909CB">
        <w:rPr>
          <w:rFonts w:asciiTheme="minorHAnsi" w:hAnsiTheme="minorHAnsi"/>
          <w:b/>
        </w:rPr>
        <w:t xml:space="preserve"> </w:t>
      </w:r>
      <w:r w:rsidR="001909CB">
        <w:rPr>
          <w:rFonts w:asciiTheme="minorHAnsi" w:hAnsiTheme="minorHAnsi"/>
          <w:b/>
        </w:rPr>
        <w:t xml:space="preserve">                                                  </w:t>
      </w:r>
      <w:r w:rsidR="001909CB" w:rsidRPr="00545BF5">
        <w:rPr>
          <w:rFonts w:asciiTheme="minorHAnsi" w:hAnsiTheme="minorHAnsi"/>
          <w:b/>
        </w:rPr>
        <w:t>Çok</w:t>
      </w:r>
    </w:p>
    <w:p w:rsidR="00545BF5" w:rsidRPr="00D305DC" w:rsidRDefault="001909CB" w:rsidP="00545BF5">
      <w:pPr>
        <w:pStyle w:val="AralkYok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</w:t>
      </w:r>
      <w:r w:rsidR="008C31AA">
        <w:rPr>
          <w:rFonts w:asciiTheme="minorHAnsi" w:hAnsiTheme="minorHAnsi"/>
          <w:b/>
        </w:rPr>
        <w:t xml:space="preserve">Güçlü Değil               </w:t>
      </w:r>
      <w:r w:rsidR="008C31AA">
        <w:rPr>
          <w:rFonts w:asciiTheme="minorHAnsi" w:hAnsiTheme="minorHAnsi"/>
          <w:b/>
        </w:rPr>
        <w:tab/>
      </w:r>
      <w:r w:rsidR="008C31A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="008C31AA" w:rsidRPr="00545BF5">
        <w:rPr>
          <w:rFonts w:asciiTheme="minorHAnsi" w:hAnsiTheme="minorHAnsi"/>
          <w:b/>
        </w:rPr>
        <w:t>Güçlü</w:t>
      </w:r>
    </w:p>
    <w:tbl>
      <w:tblPr>
        <w:tblpPr w:leftFromText="141" w:rightFromText="141" w:vertAnchor="text" w:horzAnchor="margin" w:tblpY="190"/>
        <w:tblOverlap w:val="never"/>
        <w:tblW w:w="949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1"/>
        <w:gridCol w:w="552"/>
        <w:gridCol w:w="552"/>
        <w:gridCol w:w="552"/>
        <w:gridCol w:w="552"/>
        <w:gridCol w:w="552"/>
      </w:tblGrid>
      <w:tr w:rsidR="00545BF5" w:rsidRPr="00D305DC" w:rsidTr="00180A29">
        <w:trPr>
          <w:trHeight w:val="377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1. Geleceğimin nasıl olacağı hakkında düşünme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2. Bugünkü seçimlerimin geleceğimi şekillendireceğinin farkında olma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60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3. Gelecek için hazırlanma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4A2CD5" w:rsidP="004A2CD5">
            <w:pPr>
              <w:pStyle w:val="AralkYok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Yapmam gereken eğitsel ve mesleki</w:t>
            </w:r>
            <w:r w:rsidR="00545BF5" w:rsidRPr="00BD70A5">
              <w:rPr>
                <w:rFonts w:asciiTheme="minorHAnsi" w:hAnsiTheme="minorHAnsi"/>
                <w:sz w:val="20"/>
                <w:szCs w:val="20"/>
              </w:rPr>
              <w:t xml:space="preserve"> seçimlerin farkına varma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5. Hedeflerime nasıl ulaşacağımı planlama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6. Kariyerimle ilgilenme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7. Moralimi, neşemi sürdürebilme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60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8. Kendi kendime karar verme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9. Davranışlarımın sorumluluğunu alma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10. Kendi doğrularıma bağlı kalma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11. Kendime güvenme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12. Kendim için doğru olanı yapma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60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13. Çevremi keşfetme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14. Bir birey olarak gelişimim için fırsatlar arama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15. Herhangi bir seçim yapmadan önce seçenekleri inceleme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16. İşlerin farklı yapılış yollarını gözlemleme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17. Aklımdaki soruları derinlemesine irdeleme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60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18. Yeni olanaklar hakkında meraklı olma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19. Görevleri etkili bir şekilde yerine getirme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20. İşleri iyi yapmaya özen gösterme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21. Yeni beceriler kazanma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77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22 Yeteneklerim doğrultusunda çalışma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60"/>
        </w:trPr>
        <w:tc>
          <w:tcPr>
            <w:tcW w:w="6731" w:type="dxa"/>
            <w:vAlign w:val="center"/>
          </w:tcPr>
          <w:p w:rsidR="00545BF5" w:rsidRPr="00BD70A5" w:rsidRDefault="00545BF5" w:rsidP="00180A29">
            <w:pPr>
              <w:pStyle w:val="AralkYok"/>
              <w:rPr>
                <w:sz w:val="20"/>
                <w:szCs w:val="20"/>
              </w:rPr>
            </w:pPr>
            <w:r w:rsidRPr="00BD70A5">
              <w:rPr>
                <w:rFonts w:asciiTheme="minorHAnsi" w:hAnsiTheme="minorHAnsi"/>
                <w:sz w:val="20"/>
                <w:szCs w:val="20"/>
              </w:rPr>
              <w:t>23. Engellerin üstesinden gelme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vAlign w:val="center"/>
          </w:tcPr>
          <w:p w:rsidR="00545BF5" w:rsidRPr="00D305DC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5DC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  <w:tr w:rsidR="00545BF5" w:rsidRPr="00D305DC" w:rsidTr="00180A29">
        <w:trPr>
          <w:trHeight w:val="353"/>
        </w:trPr>
        <w:tc>
          <w:tcPr>
            <w:tcW w:w="6731" w:type="dxa"/>
            <w:shd w:val="clear" w:color="auto" w:fill="D9D9D9" w:themeFill="background1" w:themeFillShade="D9"/>
            <w:vAlign w:val="center"/>
          </w:tcPr>
          <w:p w:rsidR="00545BF5" w:rsidRPr="007C6A38" w:rsidRDefault="00545BF5" w:rsidP="00180A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7C6A38">
              <w:rPr>
                <w:rFonts w:asciiTheme="minorHAnsi" w:hAnsiTheme="minorHAnsi"/>
                <w:sz w:val="20"/>
                <w:szCs w:val="20"/>
              </w:rPr>
              <w:t>24. Problemleri çözme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7C6A38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6A38"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7C6A38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6A38"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7C6A38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6A38"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7C6A38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6A38">
              <w:rPr>
                <w:rFonts w:asciiTheme="minorHAnsi" w:hAnsiTheme="minorHAnsi"/>
                <w:sz w:val="20"/>
                <w:szCs w:val="20"/>
              </w:rPr>
              <w:t>(4)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45BF5" w:rsidRPr="007C6A38" w:rsidRDefault="00545BF5" w:rsidP="00180A29">
            <w:pPr>
              <w:pStyle w:val="AralkYok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6A38"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</w:tr>
    </w:tbl>
    <w:p w:rsidR="00B033B0" w:rsidRDefault="00B033B0" w:rsidP="00A235DC">
      <w:pPr>
        <w:pStyle w:val="AralkYok"/>
      </w:pPr>
    </w:p>
    <w:p w:rsidR="00E13EF4" w:rsidRDefault="00A235DC" w:rsidP="00A235DC">
      <w:pPr>
        <w:pStyle w:val="AralkYok"/>
      </w:pPr>
      <w:r>
        <w:t xml:space="preserve">1,2,3,4,5 ve 6. Madde  Toplamı </w:t>
      </w:r>
      <w:r w:rsidRPr="00A235DC">
        <w:rPr>
          <w:b/>
        </w:rPr>
        <w:t>İlgi boyutu (</w:t>
      </w:r>
      <w:proofErr w:type="spellStart"/>
      <w:r w:rsidRPr="00A235DC">
        <w:rPr>
          <w:b/>
        </w:rPr>
        <w:t>concern</w:t>
      </w:r>
      <w:proofErr w:type="spellEnd"/>
      <w:r w:rsidRPr="00A235DC">
        <w:rPr>
          <w:b/>
        </w:rPr>
        <w:t>)</w:t>
      </w:r>
      <w:r>
        <w:t xml:space="preserve"> </w:t>
      </w:r>
    </w:p>
    <w:p w:rsidR="00A235DC" w:rsidRDefault="00A235DC" w:rsidP="00A235DC">
      <w:pPr>
        <w:pStyle w:val="AralkYok"/>
      </w:pPr>
      <w:r>
        <w:t xml:space="preserve">7,8,9,10,11,12. Maddelerin toplamı </w:t>
      </w:r>
      <w:r w:rsidRPr="00A235DC">
        <w:rPr>
          <w:b/>
        </w:rPr>
        <w:t>Kontrol boyutu (control)</w:t>
      </w:r>
    </w:p>
    <w:p w:rsidR="00A235DC" w:rsidRDefault="00A235DC" w:rsidP="00A235DC">
      <w:pPr>
        <w:pStyle w:val="AralkYok"/>
      </w:pPr>
      <w:r>
        <w:t xml:space="preserve">13,14,15,16,17,18. Maddelerin toplamı </w:t>
      </w:r>
      <w:r w:rsidRPr="00A235DC">
        <w:rPr>
          <w:b/>
        </w:rPr>
        <w:t>Merak boyutu (curiosity)</w:t>
      </w:r>
    </w:p>
    <w:p w:rsidR="00A235DC" w:rsidRPr="00A235DC" w:rsidRDefault="00A235DC" w:rsidP="00A235DC">
      <w:pPr>
        <w:pStyle w:val="AralkYok"/>
        <w:rPr>
          <w:b/>
        </w:rPr>
      </w:pPr>
      <w:r>
        <w:t xml:space="preserve">19,20,21,22,23,24. Maddelerin toplamı </w:t>
      </w:r>
      <w:r w:rsidRPr="00A235DC">
        <w:rPr>
          <w:b/>
        </w:rPr>
        <w:t>Güven boyutu (confidence)</w:t>
      </w:r>
    </w:p>
    <w:p w:rsidR="00A235DC" w:rsidRDefault="002512C0" w:rsidP="00A235DC">
      <w:pPr>
        <w:pStyle w:val="AralkYok"/>
      </w:pPr>
      <w:r>
        <w:t>*</w:t>
      </w:r>
      <w:r w:rsidR="00A235DC">
        <w:t xml:space="preserve">Tüm maddeler toplanarak toplam puan elde edilebilir. </w:t>
      </w:r>
    </w:p>
    <w:p w:rsidR="00A235DC" w:rsidRDefault="00A235DC" w:rsidP="00A235DC">
      <w:pPr>
        <w:pStyle w:val="AralkYok"/>
      </w:pPr>
      <w:r>
        <w:t xml:space="preserve">*Alt boyutlardaki toplam puan (veya toplam puan/ madde sayısı yani alt boyuta ilişkin ortalama değer) ne kadar yüksek olursa birey kendini o alt boyutta o kadar güçlü/iyi görüyor demektir. </w:t>
      </w:r>
    </w:p>
    <w:p w:rsidR="00DA6F84" w:rsidRDefault="00DA6F84" w:rsidP="00DA6F84">
      <w:pPr>
        <w:pStyle w:val="ListeParagraf"/>
        <w:jc w:val="both"/>
      </w:pPr>
      <w:r>
        <w:lastRenderedPageBreak/>
        <w:t>*Araştırma amacıyla yazardan izin alınmaksızın aşağıdaki yayına atıf yapmak koşuluyla kullanılabilir.</w:t>
      </w:r>
    </w:p>
    <w:p w:rsidR="00DA6F84" w:rsidRPr="00DA6F84" w:rsidRDefault="00DA6F84" w:rsidP="00DA6F84">
      <w:pPr>
        <w:pStyle w:val="ListeParagraf"/>
        <w:jc w:val="both"/>
        <w:rPr>
          <w:szCs w:val="24"/>
          <w:lang w:val="en-US"/>
        </w:rPr>
      </w:pPr>
      <w:proofErr w:type="spellStart"/>
      <w:r w:rsidRPr="00DA6F84">
        <w:rPr>
          <w:szCs w:val="24"/>
          <w:lang w:val="en-US"/>
        </w:rPr>
        <w:t>Buyukgoze</w:t>
      </w:r>
      <w:proofErr w:type="spellEnd"/>
      <w:r w:rsidRPr="00DA6F84">
        <w:rPr>
          <w:szCs w:val="24"/>
          <w:lang w:val="en-US"/>
        </w:rPr>
        <w:t xml:space="preserve">-Kavas, A. (2014). Validation of the Career Adapt-Abilities Scale-Turkish Form and its relation to hope and optimism. </w:t>
      </w:r>
      <w:r w:rsidRPr="00DA6F84">
        <w:rPr>
          <w:i/>
          <w:szCs w:val="24"/>
          <w:lang w:val="en-US"/>
        </w:rPr>
        <w:t>Australian Journal of Career Development, 23,</w:t>
      </w:r>
      <w:r w:rsidRPr="00DA6F84">
        <w:rPr>
          <w:szCs w:val="24"/>
          <w:lang w:val="en-US"/>
        </w:rPr>
        <w:t xml:space="preserve"> 125-132.</w:t>
      </w:r>
    </w:p>
    <w:p w:rsidR="00DA6F84" w:rsidRDefault="00DA6F84" w:rsidP="00A235DC">
      <w:pPr>
        <w:pStyle w:val="AralkYok"/>
      </w:pPr>
    </w:p>
    <w:sectPr w:rsidR="00DA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0675"/>
    <w:multiLevelType w:val="hybridMultilevel"/>
    <w:tmpl w:val="3724E484"/>
    <w:lvl w:ilvl="0" w:tplc="32EE313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1NTE1NweSJoamxko6SsGpxcWZ+XkgBUa1AKult1ssAAAA"/>
  </w:docVars>
  <w:rsids>
    <w:rsidRoot w:val="00545BF5"/>
    <w:rsid w:val="00007C83"/>
    <w:rsid w:val="00180A29"/>
    <w:rsid w:val="001909CB"/>
    <w:rsid w:val="001E5609"/>
    <w:rsid w:val="001E574C"/>
    <w:rsid w:val="002512C0"/>
    <w:rsid w:val="004A2CD5"/>
    <w:rsid w:val="004C3C15"/>
    <w:rsid w:val="00545BF5"/>
    <w:rsid w:val="006D630E"/>
    <w:rsid w:val="007C6A38"/>
    <w:rsid w:val="008C31AA"/>
    <w:rsid w:val="00A235DC"/>
    <w:rsid w:val="00B033B0"/>
    <w:rsid w:val="00DA6F84"/>
    <w:rsid w:val="00DC6FA1"/>
    <w:rsid w:val="00E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9D4A"/>
  <w15:docId w15:val="{3048B83E-4929-204B-84A5-1AC351B3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F5"/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5BF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eParagraf">
    <w:name w:val="List Paragraph"/>
    <w:basedOn w:val="Normal"/>
    <w:uiPriority w:val="34"/>
    <w:qFormat/>
    <w:rsid w:val="00DA6F84"/>
    <w:pPr>
      <w:ind w:left="720"/>
      <w:contextualSpacing/>
    </w:pPr>
    <w:rPr>
      <w:rFonts w:eastAsia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Let it go</cp:lastModifiedBy>
  <cp:revision>3</cp:revision>
  <dcterms:created xsi:type="dcterms:W3CDTF">2020-10-11T15:48:00Z</dcterms:created>
  <dcterms:modified xsi:type="dcterms:W3CDTF">2020-10-11T16:25:00Z</dcterms:modified>
</cp:coreProperties>
</file>